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8"/>
          <w:szCs w:val="38"/>
          <w:highlight w:val="white"/>
        </w:rPr>
      </w:pP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Condizioni di servizio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highlight w:val="white"/>
          <w:rtl w:val="0"/>
        </w:rPr>
        <w:t xml:space="preserve">L’occupazione delle aree stradali e dei marciapiedi deve avvenire nel rispetto delle norme del Codice della strada, quindi, per garantire la sicurezza dei pedoni e dei veicoli può essere necessario richiedere anche l’emissione di un’ordinanza di disciplina della circolazione. Copia del provvedimento di autorizzazione o concessione deve essere conservata nel luogo dove avviene l’occupazione ed esibita su richiesta dei funzionari incaricati dei controlli. Consultare il Regolamento Comunale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